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7E" w:rsidRDefault="0002137E" w:rsidP="0002137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30.4pt;margin-top:141.4pt;width:42pt;height:13.5pt;z-index:251692032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61" type="#_x0000_t32" style="position:absolute;margin-left:79.15pt;margin-top:145.15pt;width:42.75pt;height:34.5pt;flip:x;z-index:251689984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45.3pt;margin-top:184.9pt;width:118.45pt;height:77.25pt;z-index:251682816;mso-width-relative:margin;mso-height-relative:margin">
            <v:textbox>
              <w:txbxContent>
                <w:p w:rsidR="0002137E" w:rsidRPr="003052DF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 w:rsidRPr="003052DF">
                    <w:rPr>
                      <w:rFonts w:ascii="Arial" w:hAnsi="Arial" w:cs="Arial"/>
                      <w:b/>
                    </w:rPr>
                    <w:t>Des villes bombardées :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sz w:val="10"/>
                    </w:rPr>
                  </w:pPr>
                </w:p>
                <w:p w:rsidR="0002137E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……………………….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  <w:sz w:val="16"/>
                    </w:rPr>
                  </w:pP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……………………….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32" style="position:absolute;margin-left:226.9pt;margin-top:141.4pt;width:0;height:53.25pt;z-index:251693056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60" type="#_x0000_t32" style="position:absolute;margin-left:236.65pt;margin-top:36.4pt;width:0;height:39.75pt;flip:y;z-index:251688960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55" type="#_x0000_t202" style="position:absolute;margin-left:122.65pt;margin-top:199.9pt;width:210pt;height:91.5pt;z-index:251683840;mso-width-relative:margin;mso-height-relative:margin">
            <v:textbox>
              <w:txbxContent>
                <w:p w:rsidR="0002137E" w:rsidRPr="003052DF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L’usage de la bombe atomique :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sz w:val="10"/>
                    </w:rPr>
                  </w:pPr>
                </w:p>
                <w:p w:rsidR="0002137E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……………………………………………..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  <w:sz w:val="16"/>
                    </w:rPr>
                  </w:pP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……………………………………………..</w:t>
                  </w:r>
                </w:p>
                <w:p w:rsidR="0002137E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……………………………………………..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382.15pt;margin-top:124.15pt;width:126pt;height:87.75pt;z-index:251684864;mso-width-relative:margin;mso-height-relative:margin">
            <v:textbox>
              <w:txbxContent>
                <w:p w:rsidR="0002137E" w:rsidRPr="003052DF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 w:rsidRPr="003052DF">
                    <w:rPr>
                      <w:rFonts w:ascii="Arial" w:hAnsi="Arial" w:cs="Arial"/>
                      <w:b/>
                    </w:rPr>
                    <w:t>Une mobilisation des esprits par la propagande :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sz w:val="10"/>
                    </w:rPr>
                  </w:pPr>
                </w:p>
                <w:p w:rsidR="0002137E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  <w:sz w:val="16"/>
                    </w:rPr>
                  </w:pP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32" style="position:absolute;margin-left:321.4pt;margin-top:44.65pt;width:51pt;height:33.75pt;flip:y;z-index:251691008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57" type="#_x0000_t202" style="position:absolute;margin-left:385.15pt;margin-top:1.15pt;width:126pt;height:46.5pt;z-index:251685888;mso-width-relative:margin;mso-height-relative:margin">
            <v:textbox>
              <w:txbxContent>
                <w:p w:rsidR="0002137E" w:rsidRPr="003052DF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 prisonniers exécutés et des tortures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sz w:val="10"/>
                    </w:rPr>
                  </w:pP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174.4pt;margin-top:-52.85pt;width:156pt;height:82.5pt;z-index:251681792;mso-width-relative:margin;mso-height-relative:margin">
            <v:textbox>
              <w:txbxContent>
                <w:p w:rsidR="0002137E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« Destruction des Juifs d’Europe » :</w:t>
                  </w:r>
                </w:p>
                <w:p w:rsidR="0002137E" w:rsidRPr="003052DF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02137E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3052DF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>…</w:t>
                  </w:r>
                </w:p>
                <w:p w:rsidR="0002137E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02137E" w:rsidRPr="003052DF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3052DF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>…</w:t>
                  </w:r>
                </w:p>
                <w:p w:rsidR="0002137E" w:rsidRPr="003052DF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32" style="position:absolute;margin-left:73.15pt;margin-top:110pt;width:48.75pt;height:0;flip:x;z-index:251687936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58" type="#_x0000_t32" style="position:absolute;margin-left:120.4pt;margin-top:44.65pt;width:14.25pt;height:31.5pt;flip:x y;z-index:251686912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51" type="#_x0000_t202" style="position:absolute;margin-left:-58.8pt;margin-top:-17.95pt;width:188.95pt;height:58.1pt;z-index:251679744;mso-width-relative:margin;mso-height-relative:margin">
            <v:textbox>
              <w:txbxContent>
                <w:p w:rsidR="0002137E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 combats meurtriers sur tous les continents :</w:t>
                  </w:r>
                </w:p>
                <w:p w:rsidR="0002137E" w:rsidRPr="003052DF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02137E" w:rsidRPr="003052DF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3052DF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>…………</w:t>
                  </w:r>
                  <w:r w:rsidRPr="003052DF">
                    <w:rPr>
                      <w:rFonts w:ascii="Arial" w:hAnsi="Arial" w:cs="Arial"/>
                    </w:rPr>
                    <w:t>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-55.05pt;margin-top:95.65pt;width:118.45pt;height:31.5pt;z-index:251680768;mso-width-relative:margin;mso-height-relative:margin">
            <v:textbox>
              <w:txbxContent>
                <w:p w:rsidR="0002137E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Une mobilisation économique totale</w:t>
                  </w:r>
                </w:p>
                <w:p w:rsidR="0002137E" w:rsidRPr="003052DF" w:rsidRDefault="0002137E" w:rsidP="0002137E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29.45pt;margin-top:83pt;width:191.95pt;height:53.15pt;z-index:251678720;mso-width-relative:margin;mso-height-relative:margin">
            <v:textbox>
              <w:txbxContent>
                <w:p w:rsidR="0002137E" w:rsidRPr="006A5C3A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u w:val="single"/>
                    </w:rPr>
                  </w:pPr>
                  <w:r w:rsidRPr="006A5C3A">
                    <w:rPr>
                      <w:rFonts w:ascii="Arial" w:hAnsi="Arial" w:cs="Arial"/>
                      <w:b/>
                      <w:color w:val="FF0000"/>
                      <w:sz w:val="24"/>
                      <w:u w:val="single"/>
                    </w:rPr>
                    <w:t>La Seconde Guerre mondiale : une guerre d’anéantissement</w:t>
                  </w:r>
                </w:p>
                <w:p w:rsidR="0002137E" w:rsidRPr="006A5C3A" w:rsidRDefault="0002137E" w:rsidP="0002137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u w:val="single"/>
                    </w:rPr>
                  </w:pPr>
                  <w:r w:rsidRPr="006A5C3A">
                    <w:rPr>
                      <w:rFonts w:ascii="Arial" w:hAnsi="Arial" w:cs="Arial"/>
                      <w:b/>
                      <w:color w:val="FF0000"/>
                      <w:sz w:val="24"/>
                      <w:u w:val="single"/>
                    </w:rPr>
                    <w:t>(1939-1945)</w:t>
                  </w:r>
                </w:p>
              </w:txbxContent>
            </v:textbox>
          </v:shape>
        </w:pict>
      </w:r>
    </w:p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02137E" w:rsidRDefault="0002137E"/>
    <w:p w:rsidR="00257A8D" w:rsidRDefault="00C22440">
      <w:r>
        <w:rPr>
          <w:noProof/>
          <w:lang w:eastAsia="fr-FR"/>
        </w:rPr>
        <w:pict>
          <v:shape id="_x0000_s1048" type="#_x0000_t32" style="position:absolute;margin-left:330.4pt;margin-top:141.4pt;width:42pt;height:13.5pt;z-index:251675648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79.15pt;margin-top:145.15pt;width:42.75pt;height:34.5pt;flip:x;z-index:251672576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30" type="#_x0000_t202" style="position:absolute;margin-left:-45.3pt;margin-top:184.9pt;width:118.45pt;height:77.25pt;z-index:251664384;mso-width-relative:margin;mso-height-relative:margin">
            <v:textbox>
              <w:txbxContent>
                <w:p w:rsidR="003052DF" w:rsidRP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 w:rsidRPr="003052DF">
                    <w:rPr>
                      <w:rFonts w:ascii="Arial" w:hAnsi="Arial" w:cs="Arial"/>
                      <w:b/>
                    </w:rPr>
                    <w:t>Des villes bombardées :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sz w:val="10"/>
                    </w:rPr>
                  </w:pPr>
                </w:p>
                <w:p w:rsid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……………………….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  <w:sz w:val="16"/>
                    </w:rPr>
                  </w:pP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……………………….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32" style="position:absolute;margin-left:226.9pt;margin-top:141.4pt;width:0;height:53.25pt;z-index:251676672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44" type="#_x0000_t32" style="position:absolute;margin-left:236.65pt;margin-top:36.4pt;width:0;height:39.75pt;flip:y;z-index:251671552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31" type="#_x0000_t202" style="position:absolute;margin-left:122.65pt;margin-top:199.9pt;width:210pt;height:91.5pt;z-index:251665408;mso-width-relative:margin;mso-height-relative:margin">
            <v:textbox>
              <w:txbxContent>
                <w:p w:rsidR="003052DF" w:rsidRP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L’usage de la bombe atomique :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sz w:val="10"/>
                    </w:rPr>
                  </w:pPr>
                </w:p>
                <w:p w:rsid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……………………………………………..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  <w:sz w:val="16"/>
                    </w:rPr>
                  </w:pP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……………………………………………..</w:t>
                  </w:r>
                </w:p>
                <w:p w:rsid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……………………………………………..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382.15pt;margin-top:124.15pt;width:126pt;height:87.75pt;z-index:251667456;mso-width-relative:margin;mso-height-relative:margin">
            <v:textbox>
              <w:txbxContent>
                <w:p w:rsidR="003052DF" w:rsidRP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 w:rsidRPr="003052DF">
                    <w:rPr>
                      <w:rFonts w:ascii="Arial" w:hAnsi="Arial" w:cs="Arial"/>
                      <w:b/>
                    </w:rPr>
                    <w:t>Une mobilisation des esprits par la propagande :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sz w:val="10"/>
                    </w:rPr>
                  </w:pPr>
                </w:p>
                <w:p w:rsid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  <w:sz w:val="16"/>
                    </w:rPr>
                  </w:pP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32" style="position:absolute;margin-left:321.4pt;margin-top:44.65pt;width:51pt;height:33.75pt;flip:y;z-index:251673600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34" type="#_x0000_t202" style="position:absolute;margin-left:385.15pt;margin-top:1.15pt;width:126pt;height:46.5pt;z-index:251668480;mso-width-relative:margin;mso-height-relative:margin">
            <v:textbox>
              <w:txbxContent>
                <w:p w:rsidR="003052DF" w:rsidRP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 prisonniers exécutés et des tortures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sz w:val="10"/>
                    </w:rPr>
                  </w:pP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6A5C3A">
        <w:rPr>
          <w:noProof/>
          <w:lang w:eastAsia="fr-FR"/>
        </w:rPr>
        <w:pict>
          <v:shape id="_x0000_s1029" type="#_x0000_t202" style="position:absolute;margin-left:174.4pt;margin-top:-52.85pt;width:156pt;height:82.5pt;z-index:251663360;mso-width-relative:margin;mso-height-relative:margin">
            <v:textbox>
              <w:txbxContent>
                <w:p w:rsid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« Destruction des Juifs d’Europe » :</w:t>
                  </w:r>
                </w:p>
                <w:p w:rsidR="003052DF" w:rsidRP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3052DF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>…</w:t>
                  </w:r>
                </w:p>
                <w:p w:rsid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3052DF" w:rsidRP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3052DF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>…</w:t>
                  </w:r>
                </w:p>
                <w:p w:rsidR="003052DF" w:rsidRP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6A5C3A">
        <w:rPr>
          <w:noProof/>
          <w:lang w:eastAsia="fr-FR"/>
        </w:rPr>
        <w:pict>
          <v:shape id="_x0000_s1043" type="#_x0000_t32" style="position:absolute;margin-left:73.15pt;margin-top:110pt;width:48.75pt;height:0;flip:x;z-index:251670528" o:connectortype="straight" strokeweight="2.25pt">
            <v:stroke endarrow="block"/>
          </v:shape>
        </w:pict>
      </w:r>
      <w:r w:rsidR="006A5C3A">
        <w:rPr>
          <w:noProof/>
          <w:lang w:eastAsia="fr-FR"/>
        </w:rPr>
        <w:pict>
          <v:shape id="_x0000_s1042" type="#_x0000_t32" style="position:absolute;margin-left:120.4pt;margin-top:44.65pt;width:14.25pt;height:31.5pt;flip:x y;z-index:251669504" o:connectortype="straight" strokeweight="2.25pt">
            <v:stroke endarrow="block"/>
          </v:shape>
        </w:pict>
      </w:r>
      <w:r w:rsidR="003052DF">
        <w:rPr>
          <w:noProof/>
          <w:lang w:eastAsia="fr-FR"/>
        </w:rPr>
        <w:pict>
          <v:shape id="_x0000_s1027" type="#_x0000_t202" style="position:absolute;margin-left:-58.8pt;margin-top:-17.95pt;width:188.95pt;height:58.1pt;z-index:251661312;mso-width-relative:margin;mso-height-relative:margin">
            <v:textbox>
              <w:txbxContent>
                <w:p w:rsid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 combats meurtriers sur tous les continents :</w:t>
                  </w:r>
                </w:p>
                <w:p w:rsidR="003052DF" w:rsidRP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3052DF" w:rsidRP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3052DF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>…………</w:t>
                  </w:r>
                  <w:r w:rsidRPr="003052DF">
                    <w:rPr>
                      <w:rFonts w:ascii="Arial" w:hAnsi="Arial" w:cs="Arial"/>
                    </w:rPr>
                    <w:t>……</w:t>
                  </w:r>
                </w:p>
              </w:txbxContent>
            </v:textbox>
          </v:shape>
        </w:pict>
      </w:r>
      <w:r w:rsidR="003052DF">
        <w:rPr>
          <w:noProof/>
          <w:lang w:eastAsia="fr-FR"/>
        </w:rPr>
        <w:pict>
          <v:shape id="_x0000_s1028" type="#_x0000_t202" style="position:absolute;margin-left:-55.05pt;margin-top:95.65pt;width:118.45pt;height:31.5pt;z-index:251662336;mso-width-relative:margin;mso-height-relative:margin">
            <v:textbox>
              <w:txbxContent>
                <w:p w:rsidR="003052DF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Une mobilisation économique totale</w:t>
                  </w:r>
                </w:p>
                <w:p w:rsidR="003052DF" w:rsidRPr="003052DF" w:rsidRDefault="003052DF" w:rsidP="003052DF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3052DF">
        <w:rPr>
          <w:noProof/>
        </w:rPr>
        <w:pict>
          <v:shape id="_x0000_s1026" type="#_x0000_t202" style="position:absolute;margin-left:129.45pt;margin-top:83pt;width:191.95pt;height:53.15pt;z-index:251660288;mso-width-relative:margin;mso-height-relative:margin">
            <v:textbox>
              <w:txbxContent>
                <w:p w:rsidR="003052DF" w:rsidRPr="006A5C3A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u w:val="single"/>
                    </w:rPr>
                  </w:pPr>
                  <w:r w:rsidRPr="006A5C3A">
                    <w:rPr>
                      <w:rFonts w:ascii="Arial" w:hAnsi="Arial" w:cs="Arial"/>
                      <w:b/>
                      <w:color w:val="FF0000"/>
                      <w:sz w:val="24"/>
                      <w:u w:val="single"/>
                    </w:rPr>
                    <w:t>La Seconde Guerre mondiale : une guerre d’anéantissement</w:t>
                  </w:r>
                </w:p>
                <w:p w:rsidR="003052DF" w:rsidRPr="006A5C3A" w:rsidRDefault="003052DF" w:rsidP="003052D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u w:val="single"/>
                    </w:rPr>
                  </w:pPr>
                  <w:r w:rsidRPr="006A5C3A">
                    <w:rPr>
                      <w:rFonts w:ascii="Arial" w:hAnsi="Arial" w:cs="Arial"/>
                      <w:b/>
                      <w:color w:val="FF0000"/>
                      <w:sz w:val="24"/>
                      <w:u w:val="single"/>
                    </w:rPr>
                    <w:t>(1939-1945)</w:t>
                  </w:r>
                </w:p>
              </w:txbxContent>
            </v:textbox>
          </v:shape>
        </w:pict>
      </w:r>
    </w:p>
    <w:sectPr w:rsidR="00257A8D" w:rsidSect="0025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2DF"/>
    <w:rsid w:val="0002137E"/>
    <w:rsid w:val="00257A8D"/>
    <w:rsid w:val="003052DF"/>
    <w:rsid w:val="006A5C3A"/>
    <w:rsid w:val="0072007A"/>
    <w:rsid w:val="00C2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6" type="connector" idref="#_x0000_s1048"/>
        <o:r id="V:Rule17" type="connector" idref="#_x0000_s1049"/>
        <o:r id="V:Rule18" type="connector" idref="#_x0000_s1058"/>
        <o:r id="V:Rule19" type="connector" idref="#_x0000_s1059"/>
        <o:r id="V:Rule20" type="connector" idref="#_x0000_s1060"/>
        <o:r id="V:Rule21" type="connector" idref="#_x0000_s1061"/>
        <o:r id="V:Rule22" type="connector" idref="#_x0000_s1062"/>
        <o:r id="V:Rule23" type="connector" idref="#_x0000_s1063"/>
        <o:r id="V:Rule2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2D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05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4</cp:revision>
  <dcterms:created xsi:type="dcterms:W3CDTF">2013-01-08T18:59:00Z</dcterms:created>
  <dcterms:modified xsi:type="dcterms:W3CDTF">2013-01-08T19:13:00Z</dcterms:modified>
</cp:coreProperties>
</file>